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19,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03-316101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03-316101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PSYCHEMEDICS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20" w:type="dxa"/>
            <w:vAlign w:val="bottom"/>
            <w:gridSpan w:val="2"/>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58-1701987</w:t>
            </w:r>
          </w:p>
        </w:tc>
      </w:tr>
      <w:tr>
        <w:trPr>
          <w:trHeight w:val="22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2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5220 Spring Valley Road, Suite 230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 Texas 75254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1986 Incentive Stock Option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Brian Hullinger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Psychemedics Corporation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5220 Spring Valley Road, Suite 230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 Texas 75254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527-7424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Patrick J. Kinney, Jr.,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Lynch Fink Harrington &amp; Gray,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 Beacon Street, Suite 415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Massachusetts 02108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951-0800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company. See the definitions of “large accelerated filer,” “accelerated filer,” “smaller reporting company” and “emerging growth company” in Rule 12b-2 of the Exchange Act: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7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Accelerated filer</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7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0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2125980</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Post-Effective Amendment No. 1 (“</w:t>
      </w:r>
      <w:r>
        <w:rPr>
          <w:rFonts w:ascii="Times New Roman" w:cs="Times New Roman" w:eastAsia="Times New Roman" w:hAnsi="Times New Roman"/>
          <w:sz w:val="18"/>
          <w:szCs w:val="18"/>
          <w:u w:val="single" w:color="auto"/>
          <w:color w:val="auto"/>
        </w:rPr>
        <w:t>Post-Effective Amendment No. 1</w:t>
      </w:r>
      <w:r>
        <w:rPr>
          <w:rFonts w:ascii="Times New Roman" w:cs="Times New Roman" w:eastAsia="Times New Roman" w:hAnsi="Times New Roman"/>
          <w:sz w:val="18"/>
          <w:szCs w:val="18"/>
          <w:color w:val="auto"/>
        </w:rPr>
        <w:t>”), filed by Psychemedics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removes from registration all shares of the Company’s common stock, par value $0.005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registered under the following Registration Statements on Form S-8 filed by the Company (each a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Registration Statements</w:t>
      </w:r>
      <w:r>
        <w:rPr>
          <w:rFonts w:ascii="Times New Roman" w:cs="Times New Roman" w:eastAsia="Times New Roman" w:hAnsi="Times New Roman"/>
          <w:sz w:val="18"/>
          <w:szCs w:val="18"/>
          <w:color w:val="auto"/>
        </w:rPr>
        <w:t>”) with the U.S.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pertaining to the registration of shares of Common Stock offered under certain employment benefit and equity plans and agreements: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Registration Statement on Form S-8 (No. 03-316101), filed with the Commission in 1987, pertaining to the registration of 650,000 shares of Common Stock (162,500 shares, as adjusted for the reverse stock split in 2002) under the 1986 Incentive Stock Option Plan.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 share numbers set forth above reflect a 1-for-5,000 reverse stock split of the Common Stock, followed immediately by a 5,000-for-1 forward stock split of the Common Stock, effected on December 3, 2024.</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3, 2024, the Company provided notice to The Nasdaq Stock Market LLC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that it intends to file a Form 25 with the Commission to voluntarily delist its shares of Common Stock from trading on Nasdaq in connection with its previously announced plan to deregister its common stock under the Securities Exchange Act of 1934, as amended, and to delist the Company’s common stock from trading on Nasdaq. On December 13, 2024, the Company filed such Form 25 with the Commission. In connection with the foregoing and the undertakings in the Registration Statements, the Company has terminated all offerings of its securities pursuant to its existing registration statements, including the Registration Statements. The Company hereby terminates the effectiveness of the Registration Statements and removes and withdraws from registration all securities of the Company registered under the Registration Statements that remain unsold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902970</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this Post-Effective Amendment No. 1 to the Registration Statements on Form S-8 and has duly caused this Post-Effective Amendment No. 1 to be signed on its behalf by the undersigned, thereunto duly authorized, in the City of Dallas in the State of Texas, on this 19th day of March, 2025.</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PSYCHEMEDICS CORPORATION</w:t>
      </w:r>
    </w:p>
    <w:p>
      <w:pPr>
        <w:spacing w:after="0" w:line="27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Brian Hullinger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4485005</wp:posOffset>
            </wp:positionH>
            <wp:positionV relativeFrom="paragraph">
              <wp:posOffset>-7620</wp:posOffset>
            </wp:positionV>
            <wp:extent cx="177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71015" cy="825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Brian Hullinger</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Rule 478 under the Securities Act of 1933, as amended, no other person is required to sign this Post-Effective Amendment to the Registration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2068830</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2025-03-19T16:35:42Z</dcterms:created>
  <dcterms:modified xsi:type="dcterms:W3CDTF">2025-03-19T16:35:42Z</dcterms:modified>
</cp:coreProperties>
</file>